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861AC4" w:rsidRDefault="00F92268" w:rsidP="00850792">
      <w:pPr>
        <w:pStyle w:val="BodyText"/>
        <w:rPr>
          <w:sz w:val="6"/>
          <w:szCs w:val="6"/>
        </w:rPr>
      </w:pPr>
      <w:r w:rsidRPr="00861AC4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861AC4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861AC4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861AC4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861AC4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C9C317F" w:rsidR="00F92268" w:rsidRPr="00861AC4" w:rsidRDefault="00047122" w:rsidP="000025F0">
            <w:pPr>
              <w:pStyle w:val="Header"/>
              <w:rPr>
                <w:rFonts w:cs="Arial"/>
                <w:color w:val="000000" w:themeColor="text1"/>
                <w:sz w:val="16"/>
                <w:szCs w:val="16"/>
              </w:rPr>
            </w:pPr>
            <w:r w:rsidRPr="00861AC4">
              <w:rPr>
                <w:rFonts w:cs="Arial"/>
                <w:color w:val="000000" w:themeColor="text1"/>
                <w:sz w:val="16"/>
                <w:szCs w:val="16"/>
              </w:rPr>
              <w:t>3150-A</w:t>
            </w:r>
          </w:p>
        </w:tc>
      </w:tr>
    </w:tbl>
    <w:p w14:paraId="74FBA5B4" w14:textId="77777777" w:rsidR="00051356" w:rsidRPr="00861AC4" w:rsidRDefault="00051356" w:rsidP="00A672B3">
      <w:pPr>
        <w:pStyle w:val="BodyText"/>
        <w:rPr>
          <w:b/>
          <w:bCs/>
          <w:sz w:val="16"/>
          <w:szCs w:val="16"/>
        </w:rPr>
        <w:sectPr w:rsidR="00051356" w:rsidRPr="00861AC4" w:rsidSect="00445CA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711647D6" w14:textId="68CE4426" w:rsidR="1FAF1FCA" w:rsidRPr="00861AC4" w:rsidRDefault="00165A18" w:rsidP="06E3ED11">
      <w:pPr>
        <w:pStyle w:val="Heading1"/>
      </w:pPr>
      <w:r w:rsidRPr="00861AC4">
        <w:t>Specialty Guideline Management</w:t>
      </w:r>
      <w:r w:rsidRPr="00861AC4">
        <w:br/>
      </w:r>
      <w:proofErr w:type="spellStart"/>
      <w:r w:rsidRPr="00861AC4">
        <w:t>Arikayce</w:t>
      </w:r>
      <w:proofErr w:type="spellEnd"/>
    </w:p>
    <w:p w14:paraId="4E9640C7" w14:textId="477A6BFD" w:rsidR="00861AC4" w:rsidRPr="00861AC4" w:rsidRDefault="00861AC4" w:rsidP="00861AC4">
      <w:pPr>
        <w:pStyle w:val="Heading2"/>
      </w:pPr>
      <w:r w:rsidRPr="00861AC4">
        <w:t>Products Referenced by this Document</w:t>
      </w:r>
    </w:p>
    <w:p w14:paraId="753FF066" w14:textId="3704B9F4" w:rsidR="00861AC4" w:rsidRPr="00861AC4" w:rsidRDefault="00861AC4" w:rsidP="00861AC4">
      <w:pPr>
        <w:pStyle w:val="BodyText"/>
      </w:pPr>
      <w:r w:rsidRPr="00861AC4">
        <w:t xml:space="preserve">Drugs that are listed in the following table include both brand and generic and all dosage forms and strengths unless otherwise stated. </w:t>
      </w:r>
      <w:r w:rsidR="00B842CA">
        <w:t>Over-the-counter (</w:t>
      </w:r>
      <w:r w:rsidRPr="00861AC4">
        <w:t>OTC</w:t>
      </w:r>
      <w:r w:rsidR="00B842CA">
        <w:t>)</w:t>
      </w:r>
      <w:r w:rsidRPr="00861AC4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861AC4" w:rsidRPr="00861AC4" w14:paraId="04EE23B2" w14:textId="77777777" w:rsidTr="00BC5263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30F67EA7" w14:textId="77777777" w:rsidR="00861AC4" w:rsidRPr="00861AC4" w:rsidRDefault="00861AC4" w:rsidP="00BC5263">
            <w:pPr>
              <w:pStyle w:val="TableHeader"/>
            </w:pPr>
            <w:bookmarkStart w:id="0" w:name="_Hlk159603270"/>
            <w:r w:rsidRPr="00861AC4">
              <w:t>Brand Name</w:t>
            </w:r>
          </w:p>
        </w:tc>
        <w:tc>
          <w:tcPr>
            <w:tcW w:w="5595" w:type="dxa"/>
            <w:vAlign w:val="center"/>
          </w:tcPr>
          <w:p w14:paraId="7B65A169" w14:textId="77777777" w:rsidR="00861AC4" w:rsidRPr="00861AC4" w:rsidRDefault="00861AC4" w:rsidP="00BC5263">
            <w:pPr>
              <w:pStyle w:val="TableHeader"/>
            </w:pPr>
            <w:r w:rsidRPr="00861AC4">
              <w:t>Generic Name</w:t>
            </w:r>
          </w:p>
        </w:tc>
      </w:tr>
      <w:tr w:rsidR="00861AC4" w:rsidRPr="00861AC4" w14:paraId="1F632B86" w14:textId="77777777" w:rsidTr="00BC5263">
        <w:trPr>
          <w:cantSplit/>
        </w:trPr>
        <w:tc>
          <w:tcPr>
            <w:tcW w:w="5265" w:type="dxa"/>
          </w:tcPr>
          <w:p w14:paraId="3EDC2288" w14:textId="3195C2EF" w:rsidR="00861AC4" w:rsidRPr="00861AC4" w:rsidRDefault="00861AC4" w:rsidP="00BC5263">
            <w:pPr>
              <w:pStyle w:val="TableDataUnpadded"/>
            </w:pPr>
            <w:proofErr w:type="spellStart"/>
            <w:r w:rsidRPr="00861AC4">
              <w:t>Arikayce</w:t>
            </w:r>
            <w:proofErr w:type="spellEnd"/>
          </w:p>
        </w:tc>
        <w:tc>
          <w:tcPr>
            <w:tcW w:w="5595" w:type="dxa"/>
          </w:tcPr>
          <w:p w14:paraId="1E257E18" w14:textId="63F7EFF8" w:rsidR="00861AC4" w:rsidRPr="00861AC4" w:rsidRDefault="00861AC4" w:rsidP="00BC5263">
            <w:pPr>
              <w:pStyle w:val="TableDataUnpadded"/>
            </w:pPr>
            <w:r w:rsidRPr="00861AC4">
              <w:t>amikacin liposome inhalation suspension</w:t>
            </w:r>
          </w:p>
        </w:tc>
      </w:tr>
    </w:tbl>
    <w:bookmarkEnd w:id="0"/>
    <w:p w14:paraId="14CE6108" w14:textId="4C194DBB" w:rsidR="00FC1AAD" w:rsidRPr="00861AC4" w:rsidRDefault="00ED052F" w:rsidP="00ED052F">
      <w:pPr>
        <w:pStyle w:val="Heading2"/>
      </w:pPr>
      <w:r w:rsidRPr="00861AC4">
        <w:t>Indications</w:t>
      </w:r>
      <w:r w:rsidR="00E27415" w:rsidRPr="007201E3">
        <w:rPr>
          <w:vertAlign w:val="superscript"/>
        </w:rPr>
        <w:t>1</w:t>
      </w:r>
    </w:p>
    <w:p w14:paraId="270E542B" w14:textId="77777777" w:rsidR="00F43662" w:rsidRPr="00861AC4" w:rsidRDefault="00F43662" w:rsidP="00096E9A">
      <w:r w:rsidRPr="00861AC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04ED4D65" w14:textId="77777777" w:rsidR="00F43662" w:rsidRPr="00861AC4" w:rsidRDefault="00F43662" w:rsidP="00096E9A">
      <w:pPr>
        <w:pStyle w:val="Heading3"/>
      </w:pPr>
      <w:r w:rsidRPr="00861AC4">
        <w:t>FDA-Approved Indication</w:t>
      </w:r>
    </w:p>
    <w:p w14:paraId="1EBECEDF" w14:textId="01C7D64E" w:rsidR="00F43662" w:rsidRPr="00861AC4" w:rsidRDefault="00F43662" w:rsidP="00096E9A">
      <w:pPr>
        <w:pStyle w:val="BodyText"/>
      </w:pPr>
      <w:proofErr w:type="spellStart"/>
      <w:r w:rsidRPr="00861AC4">
        <w:t>Arikayce</w:t>
      </w:r>
      <w:proofErr w:type="spellEnd"/>
      <w:r w:rsidRPr="00861AC4">
        <w:t xml:space="preserve"> is indicated in adults who have limited or no alternative treatment options, for the treatment of </w:t>
      </w:r>
      <w:bookmarkStart w:id="1" w:name="OLE_LINK9"/>
      <w:bookmarkStart w:id="2" w:name="OLE_LINK13"/>
      <w:r w:rsidRPr="00861AC4">
        <w:t xml:space="preserve">Mycobacterium avium complex </w:t>
      </w:r>
      <w:bookmarkEnd w:id="1"/>
      <w:r w:rsidRPr="00861AC4">
        <w:t xml:space="preserve">(MAC) lung disease </w:t>
      </w:r>
      <w:bookmarkEnd w:id="2"/>
      <w:r w:rsidRPr="00861AC4">
        <w:t>as part of a combination antibacterial drug regimen in patients who do not achieve negative sputum cultures after a minimum of 6 consecutive months of a multidrug background regimen therapy.</w:t>
      </w:r>
    </w:p>
    <w:p w14:paraId="53939048" w14:textId="77777777" w:rsidR="00861AC4" w:rsidRPr="00861AC4" w:rsidRDefault="00F43662" w:rsidP="00861AC4">
      <w:pPr>
        <w:pStyle w:val="Heading4"/>
      </w:pPr>
      <w:r w:rsidRPr="00861AC4">
        <w:t>Limitation of Use</w:t>
      </w:r>
    </w:p>
    <w:p w14:paraId="07934D14" w14:textId="664080A1" w:rsidR="00F43662" w:rsidRPr="00861AC4" w:rsidRDefault="00F43662" w:rsidP="00096E9A">
      <w:pPr>
        <w:pStyle w:val="BodyText"/>
      </w:pPr>
      <w:proofErr w:type="spellStart"/>
      <w:r w:rsidRPr="00861AC4">
        <w:t>Arikayce</w:t>
      </w:r>
      <w:proofErr w:type="spellEnd"/>
      <w:r w:rsidRPr="00861AC4">
        <w:t xml:space="preserve"> has only been studied in patients with refractory MAC lung disease defined as patients who did not achieve negative sputum cultures after a minimum of 6 consecutive months of a multidrug background regimen therapy. The use of </w:t>
      </w:r>
      <w:proofErr w:type="spellStart"/>
      <w:r w:rsidRPr="00861AC4">
        <w:t>Arikayce</w:t>
      </w:r>
      <w:proofErr w:type="spellEnd"/>
      <w:r w:rsidRPr="00861AC4">
        <w:t xml:space="preserve"> is not recommended for patients with non-refractory MAC lung disease.</w:t>
      </w:r>
    </w:p>
    <w:p w14:paraId="291B2958" w14:textId="77777777" w:rsidR="00861AC4" w:rsidRDefault="00F43662" w:rsidP="00096E9A">
      <w:pPr>
        <w:pStyle w:val="BodyText"/>
      </w:pPr>
      <w:r w:rsidRPr="00861AC4">
        <w:t>All other indications are considered experimental/investigational and are not medically necessary.</w:t>
      </w:r>
    </w:p>
    <w:p w14:paraId="6B6FC794" w14:textId="20697E75" w:rsidR="000E3164" w:rsidRPr="00861AC4" w:rsidRDefault="009A7729" w:rsidP="00096E9A">
      <w:pPr>
        <w:pStyle w:val="Heading2"/>
      </w:pPr>
      <w:r w:rsidRPr="00861AC4">
        <w:lastRenderedPageBreak/>
        <w:t>Coverage Criteria</w:t>
      </w:r>
    </w:p>
    <w:p w14:paraId="5C6453C5" w14:textId="07444A18" w:rsidR="00640EF0" w:rsidRPr="00861AC4" w:rsidRDefault="00640EF0" w:rsidP="00C11947">
      <w:pPr>
        <w:pStyle w:val="Heading3"/>
      </w:pPr>
      <w:r w:rsidRPr="00861AC4">
        <w:t>Mycobacterium avium complex (MAC) lung disease</w:t>
      </w:r>
      <w:r w:rsidR="009C109A" w:rsidRPr="007201E3">
        <w:rPr>
          <w:vertAlign w:val="superscript"/>
        </w:rPr>
        <w:t>1,3</w:t>
      </w:r>
    </w:p>
    <w:p w14:paraId="0FEE8163" w14:textId="312AA778" w:rsidR="00640EF0" w:rsidRPr="00861AC4" w:rsidRDefault="00640EF0" w:rsidP="00C11947">
      <w:pPr>
        <w:pStyle w:val="BodyText"/>
      </w:pPr>
      <w:r w:rsidRPr="00861AC4">
        <w:t xml:space="preserve">Authorization of 12 months may be granted for members with mycobacterium avium complex (MAC) lung disease when </w:t>
      </w:r>
      <w:r w:rsidR="006D4D53">
        <w:t xml:space="preserve">all of </w:t>
      </w:r>
      <w:r w:rsidRPr="00861AC4">
        <w:t xml:space="preserve">the following criteria </w:t>
      </w:r>
      <w:r w:rsidR="006D4D53">
        <w:t>are</w:t>
      </w:r>
      <w:r w:rsidR="006D4D53" w:rsidRPr="00861AC4">
        <w:t xml:space="preserve"> </w:t>
      </w:r>
      <w:r w:rsidRPr="00861AC4">
        <w:t>met:</w:t>
      </w:r>
    </w:p>
    <w:p w14:paraId="4BE67E1E" w14:textId="44BF0088" w:rsidR="00640EF0" w:rsidRPr="00861AC4" w:rsidRDefault="00640EF0" w:rsidP="00C11947">
      <w:pPr>
        <w:pStyle w:val="ListParagraph"/>
        <w:numPr>
          <w:ilvl w:val="0"/>
          <w:numId w:val="29"/>
        </w:numPr>
        <w:contextualSpacing w:val="0"/>
      </w:pPr>
      <w:r w:rsidRPr="00861AC4">
        <w:t>The patient has refractory disease with limited or no other treatment options.</w:t>
      </w:r>
    </w:p>
    <w:p w14:paraId="49617EA5" w14:textId="77777777" w:rsidR="00C11947" w:rsidRPr="00861AC4" w:rsidRDefault="00640EF0" w:rsidP="00C11947">
      <w:pPr>
        <w:pStyle w:val="ListParagraph"/>
        <w:numPr>
          <w:ilvl w:val="0"/>
          <w:numId w:val="29"/>
        </w:numPr>
        <w:contextualSpacing w:val="0"/>
      </w:pPr>
      <w:r w:rsidRPr="00861AC4">
        <w:t>The requested medication will be used as part of a combination antibacterial drug regimen.</w:t>
      </w:r>
    </w:p>
    <w:p w14:paraId="7669339F" w14:textId="172B79A3" w:rsidR="00640EF0" w:rsidRPr="00861AC4" w:rsidRDefault="00640EF0" w:rsidP="00861AC4">
      <w:pPr>
        <w:pStyle w:val="ListParagraph"/>
        <w:numPr>
          <w:ilvl w:val="0"/>
          <w:numId w:val="29"/>
        </w:numPr>
        <w:spacing w:after="120"/>
        <w:contextualSpacing w:val="0"/>
      </w:pPr>
      <w:r w:rsidRPr="00861AC4">
        <w:t>The patient has n</w:t>
      </w:r>
      <w:r w:rsidR="006D4D53">
        <w:t>o</w:t>
      </w:r>
      <w:r w:rsidRPr="00861AC4">
        <w:t>t achieved negative sputum cultures after being treated with a multidrug background regimen therapy for a minimum of 6 consecutive months.</w:t>
      </w:r>
    </w:p>
    <w:p w14:paraId="3A643EC3" w14:textId="2106E211" w:rsidR="00A501AC" w:rsidRPr="00861AC4" w:rsidRDefault="00A501AC" w:rsidP="00A501AC">
      <w:pPr>
        <w:pStyle w:val="Heading2"/>
      </w:pPr>
      <w:r w:rsidRPr="00861AC4">
        <w:t>Continuation of Therapy</w:t>
      </w:r>
    </w:p>
    <w:p w14:paraId="600FA53E" w14:textId="0A170B79" w:rsidR="000E3164" w:rsidRPr="00861AC4" w:rsidRDefault="000E3164" w:rsidP="00C11947">
      <w:pPr>
        <w:pStyle w:val="BodyText"/>
      </w:pPr>
      <w:r w:rsidRPr="00861AC4">
        <w:t xml:space="preserve">Authorization of 12 months may be granted for continued treatment in members requesting reauthorization for an indication listed in </w:t>
      </w:r>
      <w:r w:rsidR="0089733A">
        <w:t>the coverage criteria</w:t>
      </w:r>
      <w:r w:rsidR="0089733A" w:rsidRPr="00861AC4">
        <w:t xml:space="preserve"> </w:t>
      </w:r>
      <w:r w:rsidR="009B7780">
        <w:t xml:space="preserve">section </w:t>
      </w:r>
      <w:r w:rsidRPr="00861AC4">
        <w:t>who are experiencing benefit from therapy as evidenced by disease stability or disease improvement (e.g., achievement and maintenance of negative sputum cultures).</w:t>
      </w:r>
    </w:p>
    <w:p w14:paraId="17409917" w14:textId="57F7ADB9" w:rsidR="00C96B3F" w:rsidRPr="00861AC4" w:rsidRDefault="00C96B3F" w:rsidP="008D1B34">
      <w:pPr>
        <w:pStyle w:val="Heading2"/>
      </w:pPr>
      <w:bookmarkStart w:id="3" w:name="S2.2"/>
      <w:bookmarkStart w:id="4" w:name="section-2.2"/>
      <w:bookmarkStart w:id="5" w:name="section-2.2.1"/>
      <w:bookmarkStart w:id="6" w:name="section-2.2.2"/>
      <w:bookmarkEnd w:id="3"/>
      <w:bookmarkEnd w:id="4"/>
      <w:bookmarkEnd w:id="5"/>
      <w:bookmarkEnd w:id="6"/>
      <w:r w:rsidRPr="00861AC4">
        <w:t>References</w:t>
      </w:r>
    </w:p>
    <w:p w14:paraId="37345452" w14:textId="311FC5E6" w:rsidR="00CD7B34" w:rsidRPr="00861AC4" w:rsidRDefault="00CD7B34" w:rsidP="00C11947">
      <w:pPr>
        <w:pStyle w:val="ReferenceOrdered"/>
        <w:keepNext w:val="0"/>
        <w:numPr>
          <w:ilvl w:val="0"/>
          <w:numId w:val="28"/>
        </w:numPr>
        <w:ind w:left="360" w:hanging="360"/>
      </w:pPr>
      <w:proofErr w:type="spellStart"/>
      <w:r w:rsidRPr="00861AC4">
        <w:t>Arikayce</w:t>
      </w:r>
      <w:proofErr w:type="spellEnd"/>
      <w:r w:rsidRPr="00861AC4">
        <w:t xml:space="preserve"> [package insert]. Bridgewater, NJ: Insmed Incorporated; </w:t>
      </w:r>
      <w:r w:rsidR="00447491">
        <w:t>February 2023</w:t>
      </w:r>
      <w:r w:rsidRPr="00861AC4">
        <w:t>.</w:t>
      </w:r>
    </w:p>
    <w:p w14:paraId="6D93A6F4" w14:textId="0F3FE8EE" w:rsidR="00CD7B34" w:rsidRPr="00861AC4" w:rsidRDefault="00CD7B34" w:rsidP="00C11947">
      <w:pPr>
        <w:pStyle w:val="ReferenceOrdered"/>
        <w:keepNext w:val="0"/>
        <w:numPr>
          <w:ilvl w:val="0"/>
          <w:numId w:val="28"/>
        </w:numPr>
        <w:ind w:left="360" w:hanging="360"/>
      </w:pPr>
      <w:r w:rsidRPr="00861AC4">
        <w:rPr>
          <w:lang w:val="sv-SE"/>
        </w:rPr>
        <w:t xml:space="preserve">Griffith, DE, Aksamit, T, Brown-Elliott, BA, et al. </w:t>
      </w:r>
      <w:r w:rsidRPr="00861AC4">
        <w:t>An Official ATS/IDSA Statement: Diagnosis, Treatment, and Prevention of Nontuberculous Mycobacterial Disease Am J Respir Crit Care Med.</w:t>
      </w:r>
      <w:r w:rsidR="00960123">
        <w:t xml:space="preserve"> </w:t>
      </w:r>
      <w:r w:rsidRPr="00861AC4">
        <w:t>2007;175(4):367-416.</w:t>
      </w:r>
    </w:p>
    <w:p w14:paraId="3D42E0CD" w14:textId="6CC87E60" w:rsidR="00AB7714" w:rsidRDefault="00CD7B34" w:rsidP="00C11947">
      <w:pPr>
        <w:pStyle w:val="ReferenceOrdered"/>
        <w:keepNext w:val="0"/>
        <w:numPr>
          <w:ilvl w:val="0"/>
          <w:numId w:val="28"/>
        </w:numPr>
        <w:ind w:left="360" w:hanging="360"/>
      </w:pPr>
      <w:r w:rsidRPr="00E929DD">
        <w:rPr>
          <w:lang w:val="pt-BR"/>
        </w:rPr>
        <w:t xml:space="preserve">Daley, CL, Iaccarino, JM, Lange, C, et al. </w:t>
      </w:r>
      <w:r w:rsidRPr="00861AC4">
        <w:t>Treatment of Nontuberculous Mycobacterial Pulmonary Disease</w:t>
      </w:r>
      <w:r w:rsidR="00592519">
        <w:t>:</w:t>
      </w:r>
      <w:r w:rsidR="00043E57" w:rsidRPr="00043E57">
        <w:rPr>
          <w:rFonts w:ascii="Arial" w:hAnsi="Arial"/>
          <w:sz w:val="20"/>
          <w:szCs w:val="20"/>
        </w:rPr>
        <w:t xml:space="preserve"> </w:t>
      </w:r>
      <w:r w:rsidR="00043E57" w:rsidRPr="00043E57">
        <w:t xml:space="preserve">An Official ATS/ERS/ESCMID/IDSA Clinical Practice Guideline [published correction appears in Clin Infect Dis. 2020 Dec 31;71(11):3023]. </w:t>
      </w:r>
      <w:r w:rsidR="00043E57" w:rsidRPr="007201E3">
        <w:t>Clin Infect Dis</w:t>
      </w:r>
      <w:r w:rsidR="00043E57" w:rsidRPr="00043E57">
        <w:rPr>
          <w:i/>
          <w:iCs/>
        </w:rPr>
        <w:t xml:space="preserve">. </w:t>
      </w:r>
      <w:r w:rsidR="00043E57" w:rsidRPr="00043E57">
        <w:t>2020;71(4):e1-e36.</w:t>
      </w:r>
    </w:p>
    <w:sectPr w:rsidR="00AB7714" w:rsidSect="00445CAB">
      <w:headerReference w:type="default" r:id="rId18"/>
      <w:headerReference w:type="first" r:id="rId19"/>
      <w:footerReference w:type="first" r:id="rId20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A2485" w14:textId="77777777" w:rsidR="00E47471" w:rsidRDefault="00E47471">
      <w:r>
        <w:separator/>
      </w:r>
    </w:p>
  </w:endnote>
  <w:endnote w:type="continuationSeparator" w:id="0">
    <w:p w14:paraId="54BA159C" w14:textId="77777777" w:rsidR="00E47471" w:rsidRDefault="00E47471">
      <w:r>
        <w:continuationSeparator/>
      </w:r>
    </w:p>
  </w:endnote>
  <w:endnote w:type="continuationNotice" w:id="1">
    <w:p w14:paraId="6DE7FB13" w14:textId="77777777" w:rsidR="00E47471" w:rsidRDefault="00E474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BCC63" w14:textId="77777777" w:rsidR="00E93FA7" w:rsidRDefault="00E93F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AD4E1C6" w:rsidR="00C36B72" w:rsidRPr="00E93FA7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93FA7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93FA7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93FA7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14AE8" w:rsidRPr="00E93FA7">
      <w:rPr>
        <w:rFonts w:cs="Arial"/>
        <w:noProof/>
        <w:sz w:val="16"/>
        <w:szCs w:val="16"/>
      </w:rPr>
      <w:t>Arikayce</w:t>
    </w:r>
    <w:r w:rsidR="00314AE8" w:rsidRPr="00E93FA7">
      <w:rPr>
        <w:rFonts w:cs="Arial"/>
        <w:noProof/>
        <w:snapToGrid w:val="0"/>
        <w:color w:val="000000"/>
        <w:sz w:val="16"/>
        <w:szCs w:val="16"/>
      </w:rPr>
      <w:t xml:space="preserve"> SGM 3150-A</w:t>
    </w:r>
    <w:r w:rsidR="00314AE8" w:rsidRPr="00E93FA7">
      <w:rPr>
        <w:rFonts w:cs="Arial"/>
        <w:noProof/>
        <w:sz w:val="16"/>
        <w:szCs w:val="16"/>
      </w:rPr>
      <w:t xml:space="preserve"> P2025.docx</w:t>
    </w:r>
    <w:r w:rsidRPr="00E93FA7">
      <w:rPr>
        <w:rFonts w:cs="Arial"/>
        <w:noProof/>
        <w:sz w:val="16"/>
        <w:szCs w:val="16"/>
      </w:rPr>
      <w:fldChar w:fldCharType="end"/>
    </w:r>
    <w:r w:rsidRPr="00E93FA7">
      <w:rPr>
        <w:rFonts w:cs="Arial"/>
        <w:snapToGrid w:val="0"/>
        <w:color w:val="000000"/>
        <w:sz w:val="16"/>
      </w:rPr>
      <w:tab/>
      <w:t>© 202</w:t>
    </w:r>
    <w:r w:rsidR="002D4F0C" w:rsidRPr="00E93FA7">
      <w:rPr>
        <w:rFonts w:cs="Arial"/>
        <w:snapToGrid w:val="0"/>
        <w:color w:val="000000"/>
        <w:sz w:val="16"/>
      </w:rPr>
      <w:t>5</w:t>
    </w:r>
    <w:r w:rsidRPr="00E93FA7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8476DFF" w:rsidR="00C36B72" w:rsidRPr="00E93FA7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93FA7">
      <w:rPr>
        <w:rFonts w:cs="Arial"/>
        <w:sz w:val="16"/>
        <w:szCs w:val="16"/>
      </w:rPr>
      <w:t>This document contains c</w:t>
    </w:r>
    <w:r w:rsidRPr="00E93FA7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93FA7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93FA7">
      <w:rPr>
        <w:rFonts w:cs="Arial"/>
        <w:snapToGrid w:val="0"/>
        <w:sz w:val="16"/>
        <w:szCs w:val="16"/>
      </w:rPr>
      <w:t>CVS Caremark</w:t>
    </w:r>
    <w:r w:rsidRPr="00E93FA7">
      <w:rPr>
        <w:rFonts w:cs="Arial"/>
        <w:sz w:val="16"/>
        <w:szCs w:val="16"/>
      </w:rPr>
      <w:t>.</w:t>
    </w:r>
  </w:p>
  <w:p w14:paraId="0DF8DEBC" w14:textId="24B84F76" w:rsidR="00F75C81" w:rsidRPr="00E93FA7" w:rsidRDefault="00C36B72" w:rsidP="007201E3">
    <w:pPr>
      <w:autoSpaceDE w:val="0"/>
      <w:autoSpaceDN w:val="0"/>
      <w:adjustRightInd w:val="0"/>
      <w:jc w:val="center"/>
      <w:rPr>
        <w:sz w:val="16"/>
        <w:szCs w:val="16"/>
      </w:rPr>
    </w:pPr>
    <w:r w:rsidRPr="00E93FA7">
      <w:rPr>
        <w:rFonts w:cs="Arial"/>
        <w:sz w:val="16"/>
        <w:szCs w:val="16"/>
      </w:rPr>
      <w:fldChar w:fldCharType="begin"/>
    </w:r>
    <w:r w:rsidRPr="00E93FA7">
      <w:rPr>
        <w:rFonts w:cs="Arial"/>
        <w:sz w:val="16"/>
        <w:szCs w:val="16"/>
      </w:rPr>
      <w:instrText xml:space="preserve"> PAGE </w:instrText>
    </w:r>
    <w:r w:rsidRPr="00E93FA7">
      <w:rPr>
        <w:rFonts w:cs="Arial"/>
        <w:sz w:val="16"/>
        <w:szCs w:val="16"/>
      </w:rPr>
      <w:fldChar w:fldCharType="separate"/>
    </w:r>
    <w:r w:rsidRPr="00E93FA7">
      <w:rPr>
        <w:rFonts w:cs="Arial"/>
        <w:sz w:val="16"/>
        <w:szCs w:val="16"/>
      </w:rPr>
      <w:t>8</w:t>
    </w:r>
    <w:r w:rsidRPr="00E93FA7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7199" w14:textId="21A8D7DE" w:rsidR="00861AC4" w:rsidRPr="00EC47B6" w:rsidRDefault="00861AC4" w:rsidP="00861AC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14AE8" w:rsidRPr="00314AE8">
      <w:rPr>
        <w:rFonts w:cs="Arial"/>
        <w:noProof/>
        <w:sz w:val="16"/>
        <w:szCs w:val="16"/>
      </w:rPr>
      <w:t>Arikayce</w:t>
    </w:r>
    <w:r w:rsidR="00314AE8">
      <w:rPr>
        <w:rFonts w:cs="Arial"/>
        <w:noProof/>
        <w:snapToGrid w:val="0"/>
        <w:color w:val="000000"/>
        <w:sz w:val="16"/>
        <w:szCs w:val="16"/>
      </w:rPr>
      <w:t xml:space="preserve"> SGM 3150-A</w:t>
    </w:r>
    <w:r w:rsidR="00314AE8" w:rsidRPr="00314AE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B5287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14B5D9D2" w14:textId="700364E1" w:rsidR="00861AC4" w:rsidRPr="00EC47B6" w:rsidRDefault="00861AC4" w:rsidP="00861AC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2CDD9CC" w14:textId="1B6B9287" w:rsidR="00861AC4" w:rsidRPr="00F50D98" w:rsidRDefault="00861AC4" w:rsidP="007201E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C3B74" w14:textId="77777777" w:rsidR="00E47471" w:rsidRDefault="00E47471">
      <w:r>
        <w:separator/>
      </w:r>
    </w:p>
  </w:footnote>
  <w:footnote w:type="continuationSeparator" w:id="0">
    <w:p w14:paraId="26BE1D46" w14:textId="77777777" w:rsidR="00E47471" w:rsidRDefault="00E47471">
      <w:r>
        <w:continuationSeparator/>
      </w:r>
    </w:p>
  </w:footnote>
  <w:footnote w:type="continuationNotice" w:id="1">
    <w:p w14:paraId="5240B336" w14:textId="77777777" w:rsidR="00E47471" w:rsidRDefault="00E474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7CAD9" w14:textId="77777777" w:rsidR="00E93FA7" w:rsidRDefault="00E93F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4885272" w:rsidR="00ED04EC" w:rsidRPr="00861AC4" w:rsidRDefault="00C11947" w:rsidP="00ED04EC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861AC4">
            <w:rPr>
              <w:rFonts w:cs="Arial"/>
              <w:color w:val="000000" w:themeColor="text1"/>
              <w:sz w:val="16"/>
              <w:szCs w:val="16"/>
            </w:rPr>
            <w:t>3150-A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E8D91" w14:textId="77777777" w:rsidR="00E93FA7" w:rsidRDefault="00E93FA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C11947" w:rsidRPr="00861AC4" w14:paraId="079E892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285608DB" w14:textId="77777777" w:rsidR="00C11947" w:rsidRPr="00861AC4" w:rsidRDefault="00C11947" w:rsidP="00ED04EC">
          <w:pPr>
            <w:pStyle w:val="Header"/>
            <w:rPr>
              <w:rFonts w:cs="Arial"/>
              <w:sz w:val="16"/>
              <w:szCs w:val="16"/>
            </w:rPr>
          </w:pPr>
          <w:r w:rsidRPr="00861AC4">
            <w:rPr>
              <w:rFonts w:cs="Arial"/>
              <w:sz w:val="16"/>
              <w:szCs w:val="16"/>
            </w:rPr>
            <w:t>Reference number(s)</w:t>
          </w:r>
        </w:p>
      </w:tc>
    </w:tr>
    <w:tr w:rsidR="00C11947" w:rsidRPr="00861AC4" w14:paraId="5793EAF0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67FFB371" w14:textId="77777777" w:rsidR="00C11947" w:rsidRPr="00861AC4" w:rsidRDefault="00C11947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861AC4">
            <w:rPr>
              <w:rFonts w:cs="Arial"/>
              <w:color w:val="000000" w:themeColor="text1"/>
              <w:sz w:val="16"/>
              <w:szCs w:val="16"/>
            </w:rPr>
            <w:t>3150-A</w:t>
          </w:r>
        </w:p>
      </w:tc>
    </w:tr>
  </w:tbl>
  <w:p w14:paraId="60A8E0D0" w14:textId="77777777" w:rsidR="00C11947" w:rsidRPr="00861AC4" w:rsidRDefault="00C11947" w:rsidP="00B02279">
    <w:pPr>
      <w:pStyle w:val="Header"/>
      <w:rPr>
        <w:sz w:val="6"/>
        <w:szCs w:val="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AA1E6A" w:rsidRDefault="000F5383" w:rsidP="000F5383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F1CF532" w:rsidR="000F5383" w:rsidRPr="00861AC4" w:rsidRDefault="00AF1528" w:rsidP="000F5383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861AC4">
            <w:rPr>
              <w:rFonts w:cs="Arial"/>
              <w:color w:val="000000" w:themeColor="text1"/>
              <w:sz w:val="16"/>
              <w:szCs w:val="16"/>
            </w:rPr>
            <w:t>3150-A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972BC"/>
    <w:multiLevelType w:val="hybridMultilevel"/>
    <w:tmpl w:val="AA8E9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545E2E"/>
    <w:multiLevelType w:val="hybridMultilevel"/>
    <w:tmpl w:val="36305D4A"/>
    <w:lvl w:ilvl="0" w:tplc="BB2640E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40459"/>
    <w:multiLevelType w:val="hybridMultilevel"/>
    <w:tmpl w:val="DD74580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1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7"/>
  </w:num>
  <w:num w:numId="26" w16cid:durableId="1040781062">
    <w:abstractNumId w:val="26"/>
  </w:num>
  <w:num w:numId="27" w16cid:durableId="1049956987">
    <w:abstractNumId w:val="19"/>
  </w:num>
  <w:num w:numId="28" w16cid:durableId="1398629104">
    <w:abstractNumId w:val="16"/>
  </w:num>
  <w:num w:numId="29" w16cid:durableId="1708675754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5B0"/>
    <w:rsid w:val="00043056"/>
    <w:rsid w:val="00043E57"/>
    <w:rsid w:val="0004480D"/>
    <w:rsid w:val="00044ECE"/>
    <w:rsid w:val="00046912"/>
    <w:rsid w:val="00046BD3"/>
    <w:rsid w:val="00046C3C"/>
    <w:rsid w:val="00047122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9DD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6E9A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164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3F4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A25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18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BED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182F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0E62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CC4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4F0C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B5F"/>
    <w:rsid w:val="002F5F01"/>
    <w:rsid w:val="002F6300"/>
    <w:rsid w:val="0030016D"/>
    <w:rsid w:val="00301CAF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4AE8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319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527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4E35"/>
    <w:rsid w:val="0044563B"/>
    <w:rsid w:val="00445CAB"/>
    <w:rsid w:val="00445F97"/>
    <w:rsid w:val="00446742"/>
    <w:rsid w:val="00446920"/>
    <w:rsid w:val="00446A96"/>
    <w:rsid w:val="00446C00"/>
    <w:rsid w:val="00447491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6E2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5B8C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2283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66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0AA7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519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B95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9D1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EF0"/>
    <w:rsid w:val="0064175A"/>
    <w:rsid w:val="00642734"/>
    <w:rsid w:val="00642971"/>
    <w:rsid w:val="00642BEF"/>
    <w:rsid w:val="006434FA"/>
    <w:rsid w:val="00643A29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5E8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D53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457"/>
    <w:rsid w:val="00716EF1"/>
    <w:rsid w:val="007173D7"/>
    <w:rsid w:val="00717ADD"/>
    <w:rsid w:val="007201E3"/>
    <w:rsid w:val="0072084C"/>
    <w:rsid w:val="00720AC2"/>
    <w:rsid w:val="00722D6B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4CE2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282C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BC7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78E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F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39E"/>
    <w:rsid w:val="00861AC4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B8D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559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3A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385E"/>
    <w:rsid w:val="00913A7C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374FA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0123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729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B7780"/>
    <w:rsid w:val="009C0A23"/>
    <w:rsid w:val="009C109A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46A2"/>
    <w:rsid w:val="009F6192"/>
    <w:rsid w:val="009F672D"/>
    <w:rsid w:val="009F6E2E"/>
    <w:rsid w:val="009F7EA7"/>
    <w:rsid w:val="00A000EF"/>
    <w:rsid w:val="00A00395"/>
    <w:rsid w:val="00A01674"/>
    <w:rsid w:val="00A01B93"/>
    <w:rsid w:val="00A021C0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17D86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466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9A9"/>
    <w:rsid w:val="00AA1E6A"/>
    <w:rsid w:val="00AA2744"/>
    <w:rsid w:val="00AA3F55"/>
    <w:rsid w:val="00AA46E5"/>
    <w:rsid w:val="00AA46E6"/>
    <w:rsid w:val="00AA4E3C"/>
    <w:rsid w:val="00AA5F2B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71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28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6958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877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2B2"/>
    <w:rsid w:val="00B61ED0"/>
    <w:rsid w:val="00B6319D"/>
    <w:rsid w:val="00B63FDB"/>
    <w:rsid w:val="00B642A3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2CA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AB1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74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47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3E97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2D59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B08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D7B34"/>
    <w:rsid w:val="00CE0B55"/>
    <w:rsid w:val="00CE0E3E"/>
    <w:rsid w:val="00CE12A6"/>
    <w:rsid w:val="00CE1968"/>
    <w:rsid w:val="00CE1CC9"/>
    <w:rsid w:val="00CE2909"/>
    <w:rsid w:val="00CE317E"/>
    <w:rsid w:val="00CE3EB9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8E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1E8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25A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03B"/>
    <w:rsid w:val="00D6162B"/>
    <w:rsid w:val="00D64807"/>
    <w:rsid w:val="00D6549B"/>
    <w:rsid w:val="00D65533"/>
    <w:rsid w:val="00D665CC"/>
    <w:rsid w:val="00D67252"/>
    <w:rsid w:val="00D70C19"/>
    <w:rsid w:val="00D71176"/>
    <w:rsid w:val="00D712D2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0530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D784D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15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4F57"/>
    <w:rsid w:val="00E45C1A"/>
    <w:rsid w:val="00E4640D"/>
    <w:rsid w:val="00E46738"/>
    <w:rsid w:val="00E46A0A"/>
    <w:rsid w:val="00E47471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6D52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650E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29DD"/>
    <w:rsid w:val="00E93E05"/>
    <w:rsid w:val="00E93FA7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662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504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61A"/>
    <w:rsid w:val="00FF5C3C"/>
    <w:rsid w:val="00FF7695"/>
    <w:rsid w:val="06E3ED11"/>
    <w:rsid w:val="0E84F4C8"/>
    <w:rsid w:val="1FAF1FCA"/>
    <w:rsid w:val="29729D5D"/>
    <w:rsid w:val="3C7F6152"/>
    <w:rsid w:val="62C780E2"/>
    <w:rsid w:val="645A62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861AC4"/>
    <w:pPr>
      <w:outlineLvl w:val="3"/>
    </w:pPr>
    <w:rPr>
      <w:rFonts w:ascii="CVS Health Sans" w:hAnsi="CVS Health Sans"/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D30A4B"/>
    <w:pPr>
      <w:keepNext/>
      <w:keepLines/>
      <w:spacing w:before="40" w:after="40"/>
      <w:outlineLvl w:val="4"/>
    </w:pPr>
    <w:rPr>
      <w:rFonts w:ascii="Arial" w:eastAsiaTheme="majorEastAsia" w:hAnsi="Arial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861AC4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D30A4B"/>
    <w:rPr>
      <w:rFonts w:ascii="Arial" w:eastAsiaTheme="majorEastAsia" w:hAnsi="Arial" w:cs="Arial"/>
      <w:b/>
      <w:bCs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Normal"/>
    <w:link w:val="TableDataUnpaddedChar"/>
    <w:qFormat/>
    <w:rsid w:val="00861AC4"/>
    <w:rPr>
      <w:rFonts w:eastAsia="Arial" w:cs="Arial"/>
      <w:szCs w:val="22"/>
    </w:rPr>
  </w:style>
  <w:style w:type="character" w:customStyle="1" w:styleId="TableDataUnpaddedChar">
    <w:name w:val="Table Data Unpadded Char"/>
    <w:basedOn w:val="DefaultParagraphFont"/>
    <w:link w:val="TableDataUnpadded"/>
    <w:rsid w:val="00861AC4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1FA6A506-6A2A-4325-84FB-E2824C7B75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Arikayce SGM 3150-A</vt:lpstr>
    </vt:vector>
  </TitlesOfParts>
  <Company>CVS Caremark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Arikayce SGM 3150-A</dc:title>
  <dc:subject>Arikayce SGM 3150-A</dc:subject>
  <dc:creator>CVS Caremark</dc:creator>
  <cp:keywords/>
  <cp:lastModifiedBy>Reynoso, Victor H</cp:lastModifiedBy>
  <cp:revision>42</cp:revision>
  <cp:lastPrinted>2024-04-03T12:02:00Z</cp:lastPrinted>
  <dcterms:created xsi:type="dcterms:W3CDTF">2024-04-05T15:30:00Z</dcterms:created>
  <dcterms:modified xsi:type="dcterms:W3CDTF">2025-05-05T13:18:00Z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146000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